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A3297">
                              <w:rPr>
                                <w:rFonts w:asciiTheme="minorHAnsi" w:hAnsiTheme="minorHAnsi"/>
                              </w:rPr>
                              <w:t>06/03/2019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0115DA">
                              <w:rPr>
                                <w:rFonts w:asciiTheme="minorHAnsi" w:hAnsiTheme="minorHAnsi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A3297">
                        <w:rPr>
                          <w:rFonts w:asciiTheme="minorHAnsi" w:hAnsiTheme="minorHAnsi"/>
                        </w:rPr>
                        <w:t>06/03/2019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0115DA">
                        <w:rPr>
                          <w:rFonts w:asciiTheme="minorHAnsi" w:hAnsiTheme="minorHAnsi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A3297">
        <w:rPr>
          <w:rFonts w:ascii="Calibri" w:hAnsi="Calibri" w:cs="Calibri"/>
          <w:b/>
        </w:rPr>
        <w:t xml:space="preserve">στο πλαίσιο πολιτιστικού </w:t>
      </w:r>
      <w:r w:rsidR="00707608" w:rsidRPr="009D35BD">
        <w:rPr>
          <w:rFonts w:ascii="Calibri" w:hAnsi="Calibri" w:cs="Calibri"/>
          <w:b/>
        </w:rPr>
        <w:t xml:space="preserve">προγράμματος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>στ</w:t>
      </w:r>
      <w:r w:rsidR="00C65808" w:rsidRPr="009D35BD">
        <w:rPr>
          <w:rFonts w:asciiTheme="minorHAnsi" w:hAnsiTheme="minorHAnsi"/>
          <w:b/>
          <w:bCs/>
          <w:color w:val="000000"/>
        </w:rPr>
        <w:t>η</w:t>
      </w:r>
      <w:r w:rsidR="00275F81">
        <w:rPr>
          <w:rFonts w:asciiTheme="minorHAnsi" w:hAnsiTheme="minorHAnsi"/>
          <w:b/>
          <w:bCs/>
          <w:color w:val="000000"/>
        </w:rPr>
        <w:t>ν Κομοτηνή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9643F">
        <w:rPr>
          <w:rFonts w:ascii="Calibri" w:hAnsi="Calibri"/>
        </w:rPr>
        <w:t>πραγματοποιήσει τρι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B9643F">
        <w:rPr>
          <w:rFonts w:ascii="Calibri" w:hAnsi="Calibri"/>
        </w:rPr>
        <w:t xml:space="preserve">δύο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B9643F">
        <w:rPr>
          <w:rFonts w:ascii="Calibri" w:hAnsi="Calibri" w:cs="Calibri"/>
        </w:rPr>
        <w:t>ε</w:t>
      </w:r>
      <w:r w:rsidR="00707608" w:rsidRPr="009D35BD">
        <w:rPr>
          <w:rFonts w:ascii="Calibri" w:hAnsi="Calibri" w:cs="Calibri"/>
        </w:rPr>
        <w:t>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B9643F">
        <w:rPr>
          <w:rFonts w:asciiTheme="minorHAnsi" w:hAnsiTheme="minorHAnsi"/>
          <w:bCs/>
          <w:color w:val="000000"/>
        </w:rPr>
        <w:t xml:space="preserve">ομάδας μαθητών </w:t>
      </w:r>
      <w:r w:rsidR="005628E1" w:rsidRPr="00612C66">
        <w:rPr>
          <w:rFonts w:asciiTheme="minorHAnsi" w:hAnsiTheme="minorHAnsi"/>
          <w:bCs/>
          <w:color w:val="000000"/>
        </w:rPr>
        <w:t>στη</w:t>
      </w:r>
      <w:r w:rsidR="00B9643F">
        <w:rPr>
          <w:rFonts w:asciiTheme="minorHAnsi" w:hAnsiTheme="minorHAnsi"/>
          <w:bCs/>
          <w:color w:val="000000"/>
        </w:rPr>
        <w:t>ν Κομοτηνή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ΚΟΜΟΤΗΝΗ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 ΔΙΑΝΥΚΤΕΡΕΥΣΕΙΣ) </w:t>
            </w:r>
          </w:p>
          <w:p w:rsidR="00C1469E" w:rsidRPr="00DA6E75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05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04/2019</w:t>
            </w:r>
            <w:r w:rsidR="00AE4A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C1469E" w:rsidRPr="001F31F4" w:rsidRDefault="009A3297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07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9A329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 (13 ΜΑΘΗΤΕΣ-2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 xml:space="preserve"> ΚΑΘΗΓΗΤΕΣ)</w:t>
            </w:r>
          </w:p>
          <w:p w:rsidR="00C1469E" w:rsidRPr="00F850ED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Default="009A3297" w:rsidP="000577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ΑΕΡΟΠΛΑΝΟ</w:t>
            </w:r>
            <w:r w:rsidR="00275F81">
              <w:rPr>
                <w:rFonts w:asciiTheme="minorHAnsi" w:hAnsiTheme="minorHAnsi" w:cs="Times New Roman"/>
                <w:sz w:val="20"/>
                <w:szCs w:val="20"/>
              </w:rPr>
              <w:t xml:space="preserve"> (Αθήνα – Αλεξανδρούπολη και αντιστρόφως)</w:t>
            </w:r>
          </w:p>
          <w:p w:rsidR="00B9643F" w:rsidRDefault="00DF2D36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τις μεταφορές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από το σχολείο στο 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75F81">
              <w:rPr>
                <w:rFonts w:ascii="Calibri" w:hAnsi="Calibri" w:cs="Times New Roman"/>
                <w:color w:val="000000"/>
                <w:sz w:val="24"/>
                <w:szCs w:val="24"/>
              </w:rPr>
              <w:t>και από τ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ην Αλεξανδρούπολη στην Κομοτηνή και τις αντίστροφες μεταφορές</w:t>
            </w:r>
            <w:r w:rsidR="008141EB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366420" w:rsidRPr="00A5220C" w:rsidRDefault="00366420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αστέρων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στην Κομοτη</w:t>
            </w:r>
            <w:r w:rsidR="000115DA">
              <w:rPr>
                <w:rFonts w:ascii="Calibri" w:hAnsi="Calibri" w:cs="Times New Roman"/>
                <w:sz w:val="24"/>
                <w:szCs w:val="24"/>
              </w:rPr>
              <w:t>νή σε απόσταση το πολύ 500 μέτρων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 xml:space="preserve"> από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 xml:space="preserve">το κέντρο της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πόλης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 xml:space="preserve">, με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πρωϊνό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>σε μπουφέ.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B9643F">
            <w:pPr>
              <w:ind w:firstLine="33"/>
              <w:rPr>
                <w:rFonts w:asciiTheme="minorHAnsi" w:hAnsiTheme="minorHAnsi" w:cs="Arial"/>
              </w:rPr>
            </w:pPr>
          </w:p>
          <w:p w:rsidR="00C1469E" w:rsidRPr="00612C66" w:rsidRDefault="00C1469E" w:rsidP="00B9643F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  <w:bookmarkStart w:id="0" w:name="_GoBack"/>
        <w:bookmarkEnd w:id="0"/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331620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ΠΕΜΠΤΗ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&amp; ΩΡΑ 12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331620" w:rsidRPr="001F31F4" w:rsidTr="00D6336D">
        <w:trPr>
          <w:trHeight w:val="288"/>
        </w:trPr>
        <w:tc>
          <w:tcPr>
            <w:tcW w:w="542" w:type="dxa"/>
          </w:tcPr>
          <w:p w:rsidR="00331620" w:rsidRPr="001F31F4" w:rsidRDefault="00331620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331620" w:rsidRPr="001F31F4" w:rsidRDefault="00331620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331620" w:rsidRPr="00B379E8" w:rsidRDefault="00331620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ΠΕΜΠΤΗ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/03/201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 &amp; ΩΡΑ 13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</w:t>
      </w:r>
      <w:r w:rsidR="009D35BD">
        <w:rPr>
          <w:rFonts w:asciiTheme="minorHAnsi" w:hAnsiTheme="minorHAnsi"/>
        </w:rPr>
        <w:t>των εισιτηρίων από</w:t>
      </w:r>
      <w:r w:rsidR="009D35BD" w:rsidRPr="003C169C">
        <w:rPr>
          <w:rFonts w:asciiTheme="minorHAnsi" w:hAnsiTheme="minorHAnsi"/>
        </w:rPr>
        <w:t xml:space="preserve"> την </w:t>
      </w:r>
      <w:r w:rsidR="008141EB">
        <w:rPr>
          <w:rFonts w:asciiTheme="minorHAnsi" w:hAnsiTheme="minorHAnsi"/>
        </w:rPr>
        <w:t xml:space="preserve">αεροπορική </w:t>
      </w:r>
      <w:r w:rsidR="009D35BD" w:rsidRPr="003C169C">
        <w:rPr>
          <w:rFonts w:asciiTheme="minorHAnsi" w:hAnsiTheme="minorHAnsi"/>
        </w:rPr>
        <w:t xml:space="preserve">εταιρεία </w:t>
      </w:r>
      <w:r w:rsidR="009D35BD">
        <w:rPr>
          <w:rFonts w:asciiTheme="minorHAnsi" w:hAnsiTheme="minorHAnsi"/>
        </w:rPr>
        <w:t xml:space="preserve">και </w:t>
      </w:r>
      <w:r w:rsidR="000B14F3">
        <w:rPr>
          <w:rFonts w:asciiTheme="minorHAnsi" w:hAnsiTheme="minorHAnsi" w:cs="Calibri"/>
          <w:sz w:val="24"/>
          <w:szCs w:val="24"/>
        </w:rPr>
        <w:t xml:space="preserve">των δωματίων από το </w:t>
      </w:r>
      <w:r w:rsidR="000115DA">
        <w:rPr>
          <w:rFonts w:asciiTheme="minorHAnsi" w:hAnsiTheme="minorHAnsi" w:cs="Calibri"/>
          <w:sz w:val="24"/>
          <w:szCs w:val="24"/>
        </w:rPr>
        <w:t xml:space="preserve">προτεινόμενο </w:t>
      </w:r>
      <w:r w:rsidR="000B14F3">
        <w:rPr>
          <w:rFonts w:asciiTheme="minorHAnsi" w:hAnsiTheme="minorHAnsi" w:cs="Calibri"/>
          <w:sz w:val="24"/>
          <w:szCs w:val="24"/>
        </w:rPr>
        <w:t>ξενοδοχείο.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Το πρακτορείο που θα επιλεγεί, για τη διοργάνωση της εκδρομής θα ειδοποιηθεί τηλεφωνικά αμέσως μετά την σύνταξη σχετικού πρακτικού.  Πριν την υπογραφή της σχετικής σύμβασης, θα πρέπει να καταθέσει στο σχολείο </w:t>
      </w:r>
      <w:r w:rsidR="009D35BD" w:rsidRPr="007650CA">
        <w:rPr>
          <w:rFonts w:asciiTheme="minorHAnsi" w:hAnsiTheme="minorHAnsi"/>
        </w:rPr>
        <w:t xml:space="preserve">αποδεικτικό κράτησης </w:t>
      </w:r>
      <w:r w:rsidR="009D35BD" w:rsidRPr="003C169C">
        <w:rPr>
          <w:rFonts w:asciiTheme="minorHAnsi" w:hAnsiTheme="minorHAnsi" w:cs="Arial"/>
        </w:rPr>
        <w:t xml:space="preserve">των εισιτηρίων με την </w:t>
      </w:r>
      <w:r w:rsidR="000115DA">
        <w:rPr>
          <w:rFonts w:asciiTheme="minorHAnsi" w:hAnsiTheme="minorHAnsi"/>
        </w:rPr>
        <w:t>αεροπορική</w:t>
      </w:r>
      <w:r w:rsidR="009D35BD" w:rsidRPr="003C169C">
        <w:rPr>
          <w:rFonts w:asciiTheme="minorHAnsi" w:hAnsiTheme="minorHAnsi" w:cs="Arial"/>
        </w:rPr>
        <w:t xml:space="preserve"> εταιρεία </w:t>
      </w:r>
      <w:r w:rsidR="009D35BD">
        <w:rPr>
          <w:rFonts w:asciiTheme="minorHAnsi" w:hAnsiTheme="minorHAnsi" w:cs="Arial"/>
        </w:rPr>
        <w:t xml:space="preserve">και </w:t>
      </w:r>
      <w:r w:rsidR="000115DA">
        <w:rPr>
          <w:rFonts w:asciiTheme="minorHAnsi" w:hAnsiTheme="minorHAnsi"/>
        </w:rPr>
        <w:t xml:space="preserve">των δωματίων στο επιλεχθέν </w:t>
      </w:r>
      <w:r w:rsidRPr="007650CA">
        <w:rPr>
          <w:rFonts w:asciiTheme="minorHAnsi" w:hAnsiTheme="minorHAnsi"/>
        </w:rPr>
        <w:t>ξενοδοχείο για τους μαθητές και τους συνοδούς καθηγητές</w:t>
      </w:r>
      <w:r>
        <w:rPr>
          <w:rFonts w:asciiTheme="minorHAnsi" w:hAnsiTheme="minorHAnsi"/>
        </w:rPr>
        <w:t>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115DA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56441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75F8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1620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3317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141E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06F"/>
    <w:rsid w:val="00992432"/>
    <w:rsid w:val="009931F2"/>
    <w:rsid w:val="009A3297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643F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2455-C95F-40A3-A824-6C1164F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69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6</cp:revision>
  <cp:lastPrinted>2016-11-14T06:51:00Z</cp:lastPrinted>
  <dcterms:created xsi:type="dcterms:W3CDTF">2019-03-06T10:05:00Z</dcterms:created>
  <dcterms:modified xsi:type="dcterms:W3CDTF">2019-03-06T12:26:00Z</dcterms:modified>
</cp:coreProperties>
</file>