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18/10/2019</w:t>
            </w:r>
          </w:p>
          <w:p w:rsidR="002A1A08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EC535F">
              <w:rPr>
                <w:rFonts w:ascii="Calibri" w:hAnsi="Calibri" w:cs="Calibri"/>
                <w:b/>
                <w:kern w:val="28"/>
                <w:sz w:val="22"/>
                <w:szCs w:val="22"/>
              </w:rPr>
              <w:t>880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714135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η Βενετία της Ιταλίας για τη συμμετοχή του στο 6</w:t>
      </w:r>
      <w:r w:rsidR="00A24A78" w:rsidRPr="00A24A78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Μαθητικό Ευρωπαϊκό Συνέδριο με θέμα: «Η ιστορία συναντά τις Τέχνες, τα Γράμματα και την τεχνολογία: Ο Άνθρωπος και η διαδρομή του από την Αναγέννηση στον σύγχρονο πολιτισμένο κόσμο» 2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-11- 2019 έως 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2-12-2019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423793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Βενετία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 xml:space="preserve">ν περιοχή της </w:t>
            </w:r>
            <w:r w:rsidR="00697138" w:rsidRPr="00DF2E32">
              <w:rPr>
                <w:rFonts w:asciiTheme="minorHAnsi" w:hAnsiTheme="minorHAnsi" w:cstheme="minorHAnsi"/>
              </w:rPr>
              <w:t xml:space="preserve">Βενετίας 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423793" w:rsidRPr="00DF2E32">
              <w:rPr>
                <w:rFonts w:asciiTheme="minorHAnsi" w:hAnsiTheme="minorHAnsi" w:cstheme="minorHAnsi"/>
                <w:b/>
              </w:rPr>
              <w:t xml:space="preserve"> 28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DF2E32">
              <w:rPr>
                <w:rFonts w:asciiTheme="minorHAnsi" w:hAnsiTheme="minorHAnsi" w:cstheme="minorHAnsi"/>
                <w:b/>
              </w:rPr>
              <w:t>1</w:t>
            </w:r>
            <w:r w:rsidR="00423793" w:rsidRPr="00DF2E32">
              <w:rPr>
                <w:rFonts w:asciiTheme="minorHAnsi" w:hAnsiTheme="minorHAnsi" w:cstheme="minorHAnsi"/>
                <w:b/>
              </w:rPr>
              <w:t>1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CC37D4" w:rsidRPr="00DF2E32">
              <w:rPr>
                <w:rFonts w:asciiTheme="minorHAnsi" w:hAnsiTheme="minorHAnsi" w:cstheme="minorHAnsi"/>
                <w:b/>
              </w:rPr>
              <w:t>1</w:t>
            </w:r>
            <w:r w:rsidR="00986BCB" w:rsidRPr="00DF2E32">
              <w:rPr>
                <w:rFonts w:asciiTheme="minorHAnsi" w:hAnsiTheme="minorHAnsi" w:cstheme="minorHAnsi"/>
                <w:b/>
              </w:rPr>
              <w:t>9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423793">
              <w:rPr>
                <w:rFonts w:asciiTheme="minorHAnsi" w:hAnsiTheme="minorHAnsi" w:cstheme="minorHAnsi"/>
              </w:rPr>
              <w:t xml:space="preserve">Βενετία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423793" w:rsidRPr="00DF2E32">
              <w:rPr>
                <w:rFonts w:asciiTheme="minorHAnsi" w:hAnsiTheme="minorHAnsi" w:cstheme="minorHAnsi"/>
                <w:b/>
              </w:rPr>
              <w:t>02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12</w:t>
            </w:r>
            <w:r w:rsidR="00986BCB" w:rsidRPr="00DF2E32">
              <w:rPr>
                <w:rFonts w:asciiTheme="minorHAnsi" w:hAnsiTheme="minorHAnsi" w:cstheme="minorHAnsi"/>
                <w:b/>
              </w:rPr>
              <w:t>-2019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423793">
              <w:rPr>
                <w:rFonts w:asciiTheme="minorHAnsi" w:hAnsiTheme="minorHAnsi" w:cstheme="minorHAnsi"/>
              </w:rPr>
              <w:t xml:space="preserve">Βενετία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986BC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</w:t>
            </w:r>
            <w:r w:rsidR="0047022F">
              <w:rPr>
                <w:rFonts w:asciiTheme="minorHAnsi" w:hAnsiTheme="minorHAnsi" w:cstheme="minorHAnsi"/>
              </w:rPr>
              <w:t xml:space="preserve">Βενετίας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>ς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47022F">
              <w:rPr>
                <w:rFonts w:asciiTheme="minorHAnsi" w:hAnsiTheme="minorHAnsi" w:cstheme="minorHAnsi"/>
              </w:rPr>
              <w:t>της Βενετίας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>ης Βε</w:t>
            </w:r>
            <w:r w:rsidR="00697138">
              <w:rPr>
                <w:rFonts w:asciiTheme="minorHAnsi" w:hAnsiTheme="minorHAnsi" w:cstheme="minorHAnsi"/>
              </w:rPr>
              <w:t xml:space="preserve">νετίας  στο Ξενοδοχείο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 xml:space="preserve">ές όσες είναι απαραίτητες για το Συνέδριο.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96C05"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423793">
              <w:rPr>
                <w:rFonts w:asciiTheme="minorHAnsi" w:hAnsiTheme="minorHAnsi" w:cstheme="minorHAnsi"/>
              </w:rPr>
              <w:t xml:space="preserve"> της Βενετίας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Ολοήμερη Εκδρομή Ξενάγηση στη Βενετία  με δωρεάν τη χρήση του «</w:t>
            </w:r>
            <w:proofErr w:type="spellStart"/>
            <w:r>
              <w:rPr>
                <w:rFonts w:asciiTheme="minorHAnsi" w:hAnsiTheme="minorHAnsi" w:cstheme="minorHAnsi"/>
              </w:rPr>
              <w:t>Βαπορέτ</w:t>
            </w:r>
            <w:r w:rsidR="00DF2E32">
              <w:rPr>
                <w:rFonts w:asciiTheme="minorHAnsi" w:hAnsiTheme="minorHAnsi" w:cstheme="minorHAnsi"/>
              </w:rPr>
              <w:t>ι</w:t>
            </w:r>
            <w:proofErr w:type="spellEnd"/>
            <w:r>
              <w:rPr>
                <w:rFonts w:asciiTheme="minorHAnsi" w:hAnsiTheme="minorHAnsi" w:cstheme="minorHAnsi"/>
              </w:rPr>
              <w:t>» για τη μετακίνηση στα κανάλια της πόλης.</w:t>
            </w:r>
          </w:p>
          <w:p w:rsidR="00055971" w:rsidRPr="004A0732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4A0732">
              <w:rPr>
                <w:rFonts w:asciiTheme="minorHAnsi" w:hAnsiTheme="minorHAnsi" w:cstheme="minorHAnsi"/>
                <w:b/>
              </w:rPr>
              <w:t xml:space="preserve">Εκδρομή στη Βερόνα και στη </w:t>
            </w:r>
            <w:proofErr w:type="spellStart"/>
            <w:r w:rsidRPr="004A0732">
              <w:rPr>
                <w:rFonts w:asciiTheme="minorHAnsi" w:hAnsiTheme="minorHAnsi" w:cstheme="minorHAnsi"/>
                <w:b/>
              </w:rPr>
              <w:t>Πάντοβα</w:t>
            </w:r>
            <w:proofErr w:type="spellEnd"/>
            <w:r w:rsidRPr="004A07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Βενετία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DF2E32" w:rsidRDefault="005A1F08" w:rsidP="00DF2E32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Theme="minorHAnsi" w:hAnsiTheme="minorHAnsi" w:cstheme="minorHAnsi"/>
              </w:rPr>
            </w:pP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25/10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25/10/2019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στις 11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7138"/>
    <w:rsid w:val="006B6533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D12B-C4EE-499C-B900-A050859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5</cp:revision>
  <cp:lastPrinted>2019-10-18T11:59:00Z</cp:lastPrinted>
  <dcterms:created xsi:type="dcterms:W3CDTF">2019-10-18T11:47:00Z</dcterms:created>
  <dcterms:modified xsi:type="dcterms:W3CDTF">2019-10-18T12:01:00Z</dcterms:modified>
</cp:coreProperties>
</file>