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ΕΡΕΥΝΑΣ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ΚΑΙ ΘΡΗΣΚΕΥΜΑΤΩΝ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22/09/2023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626</w:t>
            </w:r>
            <w:bookmarkStart w:id="0" w:name="_GoBack"/>
            <w:bookmarkEnd w:id="0"/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</w:p>
    <w:p>
      <w:pPr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Το 1ο Γενικό Λύκειο ΠΕΥΚΗΣ πρόκειται να πραγματοποιήσει Εκπαιδευτική Επίσκεψη στo Πανεπιστήμιο Βαρσοβίας (Πολωνία) κατόπιν προσκλήσεως του οργανισμού. Η επίσκεψη έχει προγραμματιστεί για τις 3/11/23 το πρωί.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Αθήνα – Κρακοβία  και Βαρσοβία – Αθήνα.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Αναχώρηση από Αθήνα για Κρακοβία στις 30/10/2023 (απευθείας πρωινή πτήση)  και επιστροφή από Βαρσοβία για Αθήνα στις 3/11/2023 (απευθείας βραδινή πτήση).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25-30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3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που να πληροί όλες τις  προδιαγραφές ασφαλείας για τις μετακινήσεις από το σχολείο προς αεροδρόμιο Αθήνας &amp; το αντίστροφο και για τις μετακινήσεις στο εσωτερικό της Πολωνία.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Κρακοβία (κατά προτίμηση πρωινή πτήση)  και Βαρσοβία – Αθήνα (οπωσδήποτε βραδινή πτήση).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Μεταφορά των συμμετεχόντων από το αεροδρόμιο της Κρακοβίας στο ξενοδοχείο  διαμονής κατά την άφιξη και από το ξενοδοχείο της Βαρσοβίας στο αεροδρόμιο της πόλης  κατά την αναχώρηση. 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Ξενάγηση-επίσκεψη πόλης Κρακοβίας και Βαρσοβίας.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Είσοδος, επίσκεψη και ξενάγηση  στο Άουσβιτς και στα αλατορυχεία  Βιελίτσκα της Κρακοβίας.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Ξενάγηση όπου αλλού απαιτείται σύμφωνα με το πρόγραμμα της εκδρομής, από επίσημο ξεναγό.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φορών,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Δύο (2) διανυκτερεύσεις στην Κρακοβία (30-31/10) και δύο (2) διανυκτερεύσεις στη Βαρσοβία (1-2/11) σε ξενοδοχείο τουλάχιστον 3 αστέρων.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Μετάβαση το πρωί της 3/11 στο Πανεπιστήμιο της Βαρσοβίας μετά από πρόσκληση του οποίου πραγματοποιείται η επίσκεψη.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hAnsi="Arial" w:eastAsia="Calibri" w:cs="Arial"/>
                <w:lang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οι φόροι αεροδρομίων, όλα τα έξοδα λεωφορείου, οι είσοδοι των πόλεων , τα διόδια, τα έξοδα parking, οι φόροι διανυκτερεύσεων στα ξενοδοχεία. 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Βεβαίωση Διαθεσιμότητας αεροπορικών εισιτηρίων Αθήνα-Κρακοβία και Βαρσοβία- Αθήνα ή όπως είναι εφικτό.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 Το πρακτορείο που θα επιλεγεί στη συνέχεια θα πρέπει να προσκομίσει βεβαίωση ότι έχει κάνει κράτηση των εισιτηρίων από την αεροπορική εταιρία στο όνομα του σχολείου.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4. Λόγω επίσκεψης στο Πανεπιστήμιο της Βαρσοβίας το πρωί της 3/11, είναι απαραίτητη η αναχώρηση για Αθήνα από την Βαρσοβία με βραδινή πτήση.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5. Στην περίπτωση που δεν είναι εφικτή η πτήση Αθήνα – Κρακοβία, η άφιξη στην Κρακοβία μπορεί να γίνει μέσω κοντινού αεροδρομίου.</w:t>
            </w: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28/09/2023 στις 11: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28/09/2023 στις 13:00μ.μ. </w:t>
            </w:r>
          </w:p>
        </w:tc>
      </w:tr>
    </w:tbl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b/>
        </w:rPr>
        <w:t xml:space="preserve">την    28/ 09/2023 στις 11.00μ.μ.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10/11/23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κορωνοϊού. 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>ιδιωτικό συμφωνητικό) θα καταβληθεί ως προκαταβολή το 25% του συνολικού ποσού, το υπόλοιπο ποσό έως το 50% του συνολικού πόσου θα καταβληθεί πριν την αναχώρηση. Η τελευταία δόση του υπόλοιπου ποσού 25% θα καταβληθεί αμέσως μετά την επιστροφή και σε συνάρτηση με την καλή εκτέλεση της εκδρομής, ως ποινική ρήτρα. Να υπάρχει και η δυνατότητα έκδοσης ατομικής απόδειξης.</w:t>
      </w:r>
      <w:r>
        <w:t xml:space="preserve">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D048F5"/>
    <w:multiLevelType w:val="multilevel"/>
    <w:tmpl w:val="52D048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24362016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78</TotalTime>
  <ScaleCrop>false</ScaleCrop>
  <LinksUpToDate>false</LinksUpToDate>
  <CharactersWithSpaces>7538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1st High School</cp:lastModifiedBy>
  <cp:lastPrinted>2019-10-18T11:59:00Z</cp:lastPrinted>
  <dcterms:modified xsi:type="dcterms:W3CDTF">2023-09-22T07:52:06Z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46D7875A63374EAF8E96BA27BF8B0861_13</vt:lpwstr>
  </property>
</Properties>
</file>